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520BD" w:rsidRDefault="007A3FB7" w:rsidP="00D520BD">
      <w:pPr>
        <w:tabs>
          <w:tab w:val="left" w:pos="709"/>
        </w:tabs>
        <w:suppressAutoHyphens/>
        <w:spacing w:line="100" w:lineRule="atLeast"/>
        <w:contextualSpacing/>
        <w:jc w:val="center"/>
        <w:outlineLvl w:val="0"/>
        <w:rPr>
          <w:b/>
        </w:rPr>
      </w:pPr>
      <w:r w:rsidRPr="007A3FB7">
        <w:rPr>
          <w:rFonts w:eastAsia="Calibri"/>
          <w:b/>
          <w:bCs/>
          <w:color w:val="00000A"/>
        </w:rPr>
        <w:t>на выполнение работ по капитальному ремонту</w:t>
      </w:r>
      <w:r w:rsidR="00651E6A">
        <w:rPr>
          <w:rFonts w:eastAsia="Calibri"/>
          <w:b/>
          <w:bCs/>
          <w:color w:val="00000A"/>
        </w:rPr>
        <w:t xml:space="preserve"> </w:t>
      </w:r>
      <w:r w:rsidR="00D520BD" w:rsidRPr="00B17205">
        <w:rPr>
          <w:b/>
        </w:rPr>
        <w:t xml:space="preserve">дворовой канализационной сети (п. 103) </w:t>
      </w:r>
    </w:p>
    <w:p w:rsidR="007A3FB7" w:rsidRPr="007A3FB7" w:rsidRDefault="00D520BD" w:rsidP="00D520BD">
      <w:pPr>
        <w:tabs>
          <w:tab w:val="left" w:pos="709"/>
        </w:tabs>
        <w:suppressAutoHyphens/>
        <w:spacing w:line="100" w:lineRule="atLeast"/>
        <w:contextualSpacing/>
        <w:jc w:val="center"/>
        <w:outlineLvl w:val="0"/>
        <w:rPr>
          <w:rFonts w:eastAsia="Calibri"/>
          <w:b/>
          <w:bCs/>
          <w:color w:val="00000A"/>
        </w:rPr>
      </w:pPr>
      <w:r w:rsidRPr="00B17205">
        <w:rPr>
          <w:b/>
        </w:rPr>
        <w:t>ул. Шиловская, 12, 14 от КК-731/3 до КК-738/3.  D=160 мм; L=140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proofErr w:type="gramStart"/>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roofErr w:type="gramEnd"/>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871F5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520BD">
        <w:t>дворовой канализационной</w:t>
      </w:r>
      <w:r w:rsidR="00871F53" w:rsidRPr="00871F53">
        <w:t xml:space="preserve"> сети</w:t>
      </w:r>
      <w:r w:rsidR="00B36F63">
        <w:t>,</w:t>
      </w:r>
      <w:r w:rsidR="00C52F8B" w:rsidRPr="00C52F8B">
        <w:rPr>
          <w:rFonts w:eastAsia="Calibri"/>
          <w:bCs/>
          <w:color w:val="00000A"/>
        </w:rPr>
        <w:t xml:space="preserve"> D = 1</w:t>
      </w:r>
      <w:r w:rsidR="00D520BD">
        <w:rPr>
          <w:rFonts w:eastAsia="Calibri"/>
          <w:bCs/>
          <w:color w:val="00000A"/>
        </w:rPr>
        <w:t>6</w:t>
      </w:r>
      <w:r w:rsidR="00C52F8B" w:rsidRPr="00C52F8B">
        <w:rPr>
          <w:rFonts w:eastAsia="Calibri"/>
          <w:bCs/>
          <w:color w:val="00000A"/>
        </w:rPr>
        <w:t>0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871F53">
        <w:rPr>
          <w:rFonts w:eastAsia="Calibri"/>
          <w:bCs/>
          <w:color w:val="00000A"/>
        </w:rPr>
        <w:t>1</w:t>
      </w:r>
      <w:r w:rsidR="00D520BD">
        <w:rPr>
          <w:rFonts w:eastAsia="Calibri"/>
          <w:bCs/>
          <w:color w:val="00000A"/>
        </w:rPr>
        <w:t>40</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D520BD" w:rsidRPr="00D520BD">
        <w:t>ул. Шиловская, 12, 14 от КК-731/3 до КК-738/3</w:t>
      </w:r>
      <w:r w:rsidR="00D520B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3842">
        <w:t>75</w:t>
      </w:r>
      <w:r w:rsidRPr="007A3FB7">
        <w:t xml:space="preserve"> (</w:t>
      </w:r>
      <w:r w:rsidR="00733842">
        <w:t>семидесяти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 xml:space="preserve">2.2. Договор считается заключенным </w:t>
      </w:r>
      <w:proofErr w:type="gramStart"/>
      <w:r w:rsidRPr="007A3FB7">
        <w:t>с даты</w:t>
      </w:r>
      <w:proofErr w:type="gramEnd"/>
      <w:r w:rsidRPr="007A3FB7">
        <w:t xml:space="preserve">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 xml:space="preserve">2.4. </w:t>
      </w:r>
      <w:proofErr w:type="gramStart"/>
      <w:r w:rsidRPr="007A3FB7">
        <w:t>На момент подписания настоящего Договора даты начала и окончания выполнения Подрядчиком работ (п.2.1.</w:t>
      </w:r>
      <w:proofErr w:type="gramEnd"/>
      <w:r w:rsidRPr="007A3FB7">
        <w:t xml:space="preserve"> </w:t>
      </w:r>
      <w:proofErr w:type="gramStart"/>
      <w:r w:rsidRPr="007A3FB7">
        <w:t>Договора), в том числе:</w:t>
      </w:r>
      <w:proofErr w:type="gramEnd"/>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A10CA0" w:rsidRDefault="00A10CA0" w:rsidP="007A3FB7">
      <w:pPr>
        <w:widowControl w:val="0"/>
        <w:contextualSpacing/>
        <w:jc w:val="center"/>
        <w:rPr>
          <w:b/>
        </w:rPr>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w:t>
      </w:r>
      <w:proofErr w:type="gramStart"/>
      <w:r w:rsidRPr="007A3FB7">
        <w:t xml:space="preserve"> _____________ (_________) </w:t>
      </w:r>
      <w:proofErr w:type="gramEnd"/>
      <w:r w:rsidRPr="007A3FB7">
        <w:t xml:space="preserve">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7A3FB7">
        <w:rPr>
          <w:snapToGrid w:val="0"/>
        </w:rPr>
        <w:t>но</w:t>
      </w:r>
      <w:proofErr w:type="gramEnd"/>
      <w:r w:rsidRPr="007A3FB7">
        <w:rPr>
          <w:snapToGrid w:val="0"/>
        </w:rPr>
        <w:t xml:space="preserve"> не ограничиваясь:</w:t>
      </w:r>
      <w:r w:rsidRPr="007A3FB7">
        <w:t xml:space="preserve"> все расходы, связанные с производством Работ, стоимость всех необходимых для </w:t>
      </w:r>
      <w:proofErr w:type="gramStart"/>
      <w:r w:rsidRPr="007A3FB7">
        <w:t xml:space="preserve">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w:t>
      </w:r>
      <w:proofErr w:type="gramEnd"/>
      <w:r w:rsidRPr="007A3FB7">
        <w:t xml:space="preserve">, </w:t>
      </w:r>
      <w:proofErr w:type="gramStart"/>
      <w:r w:rsidRPr="007A3FB7">
        <w:t>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7A3FB7">
        <w:t xml:space="preserve"> </w:t>
      </w:r>
      <w:proofErr w:type="gramStart"/>
      <w:r w:rsidRPr="007A3FB7">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7A3FB7">
        <w:t xml:space="preserve">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bookmarkStart w:id="0" w:name="_GoBack"/>
      <w:bookmarkEnd w:id="0"/>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proofErr w:type="gramStart"/>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roofErr w:type="gramEnd"/>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 xml:space="preserve">4.1.2.4. </w:t>
      </w:r>
      <w:proofErr w:type="gramStart"/>
      <w:r w:rsidRPr="007A3FB7">
        <w:t>Предоставить Заказчику следующие документы</w:t>
      </w:r>
      <w:proofErr w:type="gramEnd"/>
      <w:r w:rsidRPr="007A3FB7">
        <w:t>:</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proofErr w:type="gramStart"/>
      <w:r w:rsidRPr="007A3FB7">
        <w:rPr>
          <w:noProof/>
        </w:rPr>
        <w:t>В случае непредоставления названного приказа, Подрядчик считается просрочившим срок начала выполнения Работ (п. 2.1.</w:t>
      </w:r>
      <w:proofErr w:type="gramEnd"/>
      <w:r w:rsidRPr="007A3FB7">
        <w:rPr>
          <w:noProof/>
        </w:rPr>
        <w:t xml:space="preserve"> </w:t>
      </w:r>
      <w:proofErr w:type="gramStart"/>
      <w:r w:rsidRPr="007A3FB7">
        <w:rPr>
          <w:noProof/>
        </w:rPr>
        <w:t>Договора).</w:t>
      </w:r>
      <w:proofErr w:type="gramEnd"/>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proofErr w:type="gramStart"/>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roofErr w:type="gramEnd"/>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proofErr w:type="gramStart"/>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roofErr w:type="gramEnd"/>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w:t>
      </w:r>
      <w:proofErr w:type="gramStart"/>
      <w:r w:rsidRPr="007A3FB7">
        <w:t>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roofErr w:type="gramEnd"/>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w:t>
      </w:r>
      <w:proofErr w:type="gramStart"/>
      <w:r w:rsidRPr="007A3FB7">
        <w:t>Объекта</w:t>
      </w:r>
      <w:proofErr w:type="gramEnd"/>
      <w:r w:rsidRPr="007A3FB7">
        <w:t xml:space="preserve">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 xml:space="preserve">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w:t>
      </w:r>
      <w:proofErr w:type="gramStart"/>
      <w:r w:rsidRPr="007A3FB7">
        <w:t>образовавшихся</w:t>
      </w:r>
      <w:proofErr w:type="gramEnd"/>
      <w:r w:rsidRPr="007A3FB7">
        <w:t xml:space="preserve">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proofErr w:type="gramStart"/>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Pr="007A3FB7">
        <w:lastRenderedPageBreak/>
        <w:t>работ, конструкций, участков сетей инженерно-технического обеспечения».</w:t>
      </w:r>
      <w:proofErr w:type="gramEnd"/>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proofErr w:type="gramStart"/>
      <w:r w:rsidRPr="007A3FB7">
        <w:t>- по сохранности имущества Объекта и своевременной эвакуации работников и иных людей;</w:t>
      </w:r>
      <w:proofErr w:type="gramEnd"/>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proofErr w:type="gramStart"/>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roofErr w:type="gramEnd"/>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w:t>
      </w:r>
      <w:proofErr w:type="gramStart"/>
      <w:r w:rsidRPr="007A3FB7">
        <w:t>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w:t>
      </w:r>
      <w:proofErr w:type="gramEnd"/>
      <w:r w:rsidRPr="007A3FB7">
        <w:t xml:space="preserve">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 xml:space="preserve">4.3.3. </w:t>
      </w:r>
      <w:proofErr w:type="gramStart"/>
      <w:r w:rsidRPr="007A3FB7">
        <w:t>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roofErr w:type="gramEnd"/>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w:t>
      </w:r>
      <w:proofErr w:type="gramStart"/>
      <w:r w:rsidRPr="007A3FB7">
        <w:t>контроля за</w:t>
      </w:r>
      <w:proofErr w:type="gramEnd"/>
      <w:r w:rsidRPr="007A3FB7">
        <w:t xml:space="preserve">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w:t>
      </w:r>
      <w:proofErr w:type="gramStart"/>
      <w:r w:rsidRPr="007A3FB7">
        <w:t>контроль за</w:t>
      </w:r>
      <w:proofErr w:type="gramEnd"/>
      <w:r w:rsidRPr="007A3FB7">
        <w:t xml:space="preserve">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7A3FB7">
        <w:lastRenderedPageBreak/>
        <w:t>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proofErr w:type="gramStart"/>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w:t>
      </w:r>
      <w:proofErr w:type="gramEnd"/>
      <w:r w:rsidRPr="007A3FB7">
        <w:t xml:space="preserve">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proofErr w:type="gramStart"/>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w:t>
      </w:r>
      <w:proofErr w:type="gramEnd"/>
      <w:r w:rsidRPr="007A3FB7">
        <w:t xml:space="preserve"> </w:t>
      </w:r>
      <w:proofErr w:type="gramStart"/>
      <w:r w:rsidRPr="007A3FB7">
        <w:t>порядке</w:t>
      </w:r>
      <w:proofErr w:type="gramEnd"/>
      <w:r w:rsidRPr="007A3FB7">
        <w:t xml:space="preserve">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proofErr w:type="gramStart"/>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roofErr w:type="gramEnd"/>
    </w:p>
    <w:p w:rsidR="007A3FB7" w:rsidRPr="007A3FB7" w:rsidRDefault="007A3FB7" w:rsidP="00F30678">
      <w:pPr>
        <w:widowControl w:val="0"/>
        <w:tabs>
          <w:tab w:val="left" w:pos="0"/>
        </w:tabs>
        <w:contextualSpacing/>
        <w:jc w:val="both"/>
      </w:pPr>
      <w:r w:rsidRPr="007A3FB7">
        <w:t>- Пройти вводный инструктаж по ППБ, ОТ и</w:t>
      </w:r>
      <w:proofErr w:type="gramStart"/>
      <w:r w:rsidRPr="007A3FB7">
        <w:t xml:space="preserve"> 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 xml:space="preserve">5.2.2. </w:t>
      </w:r>
      <w:proofErr w:type="gramStart"/>
      <w:r w:rsidRPr="007A3FB7">
        <w:t>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roofErr w:type="gramEnd"/>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 xml:space="preserve">копии </w:t>
      </w:r>
      <w:proofErr w:type="gramStart"/>
      <w:r w:rsidRPr="007A3FB7">
        <w:t>протоколов проверки знаний требований охраны</w:t>
      </w:r>
      <w:proofErr w:type="gramEnd"/>
      <w:r w:rsidRPr="007A3FB7">
        <w:t xml:space="preserve">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lastRenderedPageBreak/>
        <w:t xml:space="preserve">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w:t>
      </w:r>
      <w:proofErr w:type="gramStart"/>
      <w:r w:rsidRPr="007A3FB7">
        <w:t>Не выполнение</w:t>
      </w:r>
      <w:proofErr w:type="gramEnd"/>
      <w:r w:rsidRPr="007A3FB7">
        <w:t xml:space="preserve">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w:t>
      </w:r>
      <w:proofErr w:type="gramStart"/>
      <w:r w:rsidRPr="007A3FB7">
        <w:t>кт скр</w:t>
      </w:r>
      <w:proofErr w:type="gramEnd"/>
      <w:r w:rsidRPr="007A3FB7">
        <w:t>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proofErr w:type="gramStart"/>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roofErr w:type="gramEnd"/>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 xml:space="preserve">5.10.1. В месте проведения Работ, продолжительностью не менее месяца, на границе рабочей зоны Подрядчик обязан </w:t>
      </w:r>
      <w:proofErr w:type="gramStart"/>
      <w:r w:rsidRPr="007A3FB7">
        <w:t>разместить</w:t>
      </w:r>
      <w:proofErr w:type="gramEnd"/>
      <w:r w:rsidRPr="007A3FB7">
        <w:t xml:space="preserve">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w:t>
      </w:r>
      <w:proofErr w:type="gramStart"/>
      <w:r w:rsidRPr="007A3FB7">
        <w:t xml:space="preserve"> 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w:t>
      </w:r>
      <w:r w:rsidRPr="007A3FB7">
        <w:lastRenderedPageBreak/>
        <w:t>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7A3FB7">
        <w:t>и(</w:t>
      </w:r>
      <w:proofErr w:type="gramEnd"/>
      <w:r w:rsidRPr="007A3FB7">
        <w:t xml:space="preserve">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 xml:space="preserve">6.4.2. </w:t>
      </w:r>
      <w:proofErr w:type="gramStart"/>
      <w:r w:rsidRPr="007A3FB7">
        <w:t>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w:t>
      </w:r>
      <w:proofErr w:type="gramEnd"/>
      <w:r w:rsidRPr="007A3FB7">
        <w:t xml:space="preserve">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w:t>
      </w:r>
      <w:proofErr w:type="gramStart"/>
      <w:r w:rsidRPr="007A3FB7">
        <w:t>При не устранении Подрядчиком в срок выявленных недостатков, Заказчик вправе принять их в выполненной части (п. 6.4.2.</w:t>
      </w:r>
      <w:proofErr w:type="gramEnd"/>
      <w:r w:rsidRPr="007A3FB7">
        <w:t xml:space="preserve"> </w:t>
      </w:r>
      <w:proofErr w:type="gramStart"/>
      <w:r w:rsidRPr="007A3FB7">
        <w:t xml:space="preserve">Договора) или отказать Подрядчику в принятии работ в полном объеме (ч. 2 ст. 405 Гражданского кодекса РФ). </w:t>
      </w:r>
      <w:proofErr w:type="gramEnd"/>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proofErr w:type="gramStart"/>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w:t>
      </w:r>
      <w:proofErr w:type="gramEnd"/>
      <w:r w:rsidRPr="007A3FB7">
        <w:t xml:space="preserve">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6.4.5. </w:t>
      </w:r>
      <w:proofErr w:type="gramStart"/>
      <w:r w:rsidRPr="007A3FB7">
        <w:t>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w:t>
      </w:r>
      <w:proofErr w:type="gramEnd"/>
      <w:r w:rsidRPr="007A3FB7">
        <w:t xml:space="preserve"> </w:t>
      </w:r>
      <w:proofErr w:type="gramStart"/>
      <w:r w:rsidRPr="007A3FB7">
        <w:t>Договора).</w:t>
      </w:r>
      <w:proofErr w:type="gramEnd"/>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w:t>
      </w:r>
      <w:proofErr w:type="gramStart"/>
      <w:r w:rsidRPr="007A3FB7">
        <w:t>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w:t>
      </w:r>
      <w:proofErr w:type="gramEnd"/>
      <w:r w:rsidRPr="007A3FB7">
        <w:t xml:space="preserve">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w:t>
      </w:r>
      <w:r w:rsidRPr="00F30678">
        <w:lastRenderedPageBreak/>
        <w:t>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w:t>
      </w:r>
      <w:proofErr w:type="gramStart"/>
      <w:r w:rsidRPr="00F30678">
        <w:t>Договор</w:t>
      </w:r>
      <w:proofErr w:type="gramEnd"/>
      <w:r w:rsidRPr="00F30678">
        <w:t xml:space="preserve">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w:t>
      </w:r>
      <w:proofErr w:type="gramStart"/>
      <w:r w:rsidRPr="00F30678">
        <w:rPr>
          <w:rFonts w:cs="Arial"/>
        </w:rPr>
        <w:t xml:space="preserve">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w:t>
      </w:r>
      <w:proofErr w:type="gramEnd"/>
      <w:r w:rsidRPr="00F30678">
        <w:rPr>
          <w:rFonts w:cs="Arial"/>
        </w:rPr>
        <w:t xml:space="preserve">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 xml:space="preserve">6.7. </w:t>
      </w:r>
      <w:proofErr w:type="gramStart"/>
      <w:r w:rsidRPr="00F30678">
        <w:t>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w:t>
      </w:r>
      <w:proofErr w:type="gramEnd"/>
      <w:r w:rsidRPr="00F30678">
        <w:t xml:space="preserve">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 xml:space="preserve">6.8. При отказе Подрядчика (уполномоченного представителя Подрядчика) от подписания актов </w:t>
      </w:r>
      <w:proofErr w:type="gramStart"/>
      <w:r w:rsidRPr="00F30678">
        <w:t>осмотра</w:t>
      </w:r>
      <w:proofErr w:type="gramEnd"/>
      <w:r w:rsidRPr="00F30678">
        <w:t xml:space="preserve">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w:t>
      </w:r>
      <w:proofErr w:type="gramStart"/>
      <w:r w:rsidRPr="00F30678">
        <w:t>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w:t>
      </w:r>
      <w:proofErr w:type="gramEnd"/>
      <w:r w:rsidRPr="00F30678">
        <w:t xml:space="preserve"> В случае отсутствия (отказа) со стороны Подрядчика (в срок, установленный Заказчиком) </w:t>
      </w:r>
      <w:r w:rsidRPr="00F30678">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w:t>
      </w:r>
      <w:proofErr w:type="gramStart"/>
      <w:r w:rsidRPr="00F30678">
        <w:t>с даты подписания</w:t>
      </w:r>
      <w:proofErr w:type="gramEnd"/>
      <w:r w:rsidRPr="00F30678">
        <w:t xml:space="preserve">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 xml:space="preserve">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w:t>
      </w:r>
      <w:proofErr w:type="gramStart"/>
      <w:r w:rsidRPr="00F30678">
        <w:t>браком</w:t>
      </w:r>
      <w:proofErr w:type="gramEnd"/>
      <w:r w:rsidRPr="00F30678">
        <w:t xml:space="preserve">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 xml:space="preserve">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w:t>
      </w:r>
      <w:proofErr w:type="gramStart"/>
      <w:r w:rsidRPr="00F30678">
        <w:t>порядок</w:t>
      </w:r>
      <w:proofErr w:type="gramEnd"/>
      <w:r w:rsidRPr="00F30678">
        <w:t xml:space="preserve">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w:t>
      </w:r>
      <w:r w:rsidRPr="00F30678">
        <w:lastRenderedPageBreak/>
        <w:t>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proofErr w:type="gramStart"/>
      <w:r w:rsidRPr="007A3FB7">
        <w:t>- если Подрядчик не приступает своевременно к исполнению Договора и Заказчик уведомил его об этом;</w:t>
      </w:r>
      <w:proofErr w:type="gramEnd"/>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w:t>
      </w:r>
      <w:proofErr w:type="gramStart"/>
      <w:r w:rsidRPr="007A3FB7">
        <w:t>предусмотренными</w:t>
      </w:r>
      <w:proofErr w:type="gramEnd"/>
      <w:r w:rsidRPr="007A3FB7">
        <w:t xml:space="preserve">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 xml:space="preserve">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w:t>
      </w:r>
      <w:proofErr w:type="gramStart"/>
      <w:r w:rsidRPr="007A3FB7">
        <w:t>не достижение</w:t>
      </w:r>
      <w:proofErr w:type="gramEnd"/>
      <w:r w:rsidRPr="007A3FB7">
        <w:t xml:space="preserve">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7A3FB7">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xml:space="preserve">. факты о ДТП, </w:t>
      </w:r>
      <w:proofErr w:type="gramStart"/>
      <w:r w:rsidRPr="007A3FB7">
        <w:t>факты о причинении</w:t>
      </w:r>
      <w:proofErr w:type="gramEnd"/>
      <w:r w:rsidRPr="007A3FB7">
        <w:t xml:space="preserve">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xml:space="preserve">- за нарушение Подрядчиком срока начала/окончания отдельных видов работ, конкретные </w:t>
      </w:r>
      <w:proofErr w:type="gramStart"/>
      <w:r w:rsidRPr="007A3FB7">
        <w:t>сроки</w:t>
      </w:r>
      <w:proofErr w:type="gramEnd"/>
      <w:r w:rsidRPr="007A3FB7">
        <w:t xml:space="preserve">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proofErr w:type="gramStart"/>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w:t>
      </w:r>
      <w:r w:rsidRPr="007A3FB7">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roofErr w:type="gramEnd"/>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w:t>
      </w:r>
      <w:proofErr w:type="gramStart"/>
      <w:r w:rsidRPr="007A3FB7">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roofErr w:type="gramEnd"/>
    </w:p>
    <w:p w:rsidR="007A3FB7" w:rsidRPr="007A3FB7" w:rsidRDefault="007A3FB7" w:rsidP="007A3FB7">
      <w:pPr>
        <w:contextualSpacing/>
        <w:jc w:val="both"/>
      </w:pPr>
      <w:r w:rsidRPr="007A3FB7">
        <w:t xml:space="preserve">9.2.5. </w:t>
      </w:r>
      <w:proofErr w:type="gramStart"/>
      <w:r w:rsidRPr="007A3FB7">
        <w:t>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w:t>
      </w:r>
      <w:proofErr w:type="gramEnd"/>
      <w:r w:rsidRPr="007A3FB7">
        <w:t xml:space="preserve">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proofErr w:type="gramStart"/>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roofErr w:type="gramEnd"/>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w:t>
      </w:r>
      <w:proofErr w:type="gramStart"/>
      <w:r w:rsidRPr="007A3FB7">
        <w:t xml:space="preserve">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w:t>
      </w:r>
      <w:r w:rsidRPr="007A3FB7">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w:t>
      </w:r>
      <w:proofErr w:type="gramEnd"/>
      <w:r w:rsidRPr="007A3FB7">
        <w:t xml:space="preserve">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 xml:space="preserve">9.3.3. Заказчик освобождается от уплаты неустойки (пени, штрафов), если докажет, что просрочка исполнения или неисполнение указанного обязательства произошли </w:t>
      </w:r>
      <w:proofErr w:type="gramStart"/>
      <w:r w:rsidRPr="007A3FB7">
        <w:t>в следствии</w:t>
      </w:r>
      <w:proofErr w:type="gramEnd"/>
      <w:r w:rsidRPr="007A3FB7">
        <w:t xml:space="preserve">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D86FE5">
        <w:t>135 040</w:t>
      </w:r>
      <w:r w:rsidRPr="00034BCD">
        <w:t xml:space="preserve"> (</w:t>
      </w:r>
      <w:r w:rsidR="00D86FE5">
        <w:t>Сто тридцать пять тысяч сорок</w:t>
      </w:r>
      <w:r w:rsidRPr="00034BCD">
        <w:t>) рубл</w:t>
      </w:r>
      <w:r w:rsidR="00A569E1">
        <w:t>ей</w:t>
      </w:r>
      <w:r w:rsidRPr="00034BCD">
        <w:t xml:space="preserve"> </w:t>
      </w:r>
      <w:r w:rsidR="00D86FE5">
        <w:t>32</w:t>
      </w:r>
      <w:r w:rsidRPr="00034BCD">
        <w:t xml:space="preserve"> копе</w:t>
      </w:r>
      <w:r w:rsidR="00D86FE5">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10.4. В случае предоставления Подрядчиком банковской гарантии, срок ее действия должен превышать срок действия Договора, но не менее</w:t>
      </w:r>
      <w:proofErr w:type="gramStart"/>
      <w:r w:rsidRPr="007A3FB7">
        <w:t>,</w:t>
      </w:r>
      <w:proofErr w:type="gramEnd"/>
      <w:r w:rsidRPr="007A3FB7">
        <w:t xml:space="preserve">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7A3FB7">
        <w:t xml:space="preserve">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w:t>
      </w:r>
      <w:r w:rsidRPr="007A3FB7">
        <w:lastRenderedPageBreak/>
        <w:t>добровольно не оплатил штрафы и пени в установленные уведомлением (требованием, претензией) о начислении штрафных санкций сроки.</w:t>
      </w:r>
      <w:proofErr w:type="gramEnd"/>
      <w:r w:rsidRPr="007A3FB7">
        <w:t xml:space="preserve">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 xml:space="preserve">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w:t>
      </w:r>
      <w:proofErr w:type="gramStart"/>
      <w:r w:rsidRPr="007A3FB7">
        <w:t>с даты поступления</w:t>
      </w:r>
      <w:proofErr w:type="gramEnd"/>
      <w:r w:rsidRPr="007A3FB7">
        <w:t xml:space="preserve">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 xml:space="preserve">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w:t>
      </w:r>
      <w:proofErr w:type="gramStart"/>
      <w:r w:rsidRPr="007A3FB7">
        <w:t>используемых</w:t>
      </w:r>
      <w:proofErr w:type="gramEnd"/>
      <w:r w:rsidRPr="007A3FB7">
        <w:t xml:space="preserve">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 xml:space="preserve">623700, </w:t>
            </w:r>
            <w:proofErr w:type="gramStart"/>
            <w:r w:rsidRPr="007A3FB7">
              <w:t>Свердловская</w:t>
            </w:r>
            <w:proofErr w:type="gramEnd"/>
            <w:r w:rsidRPr="007A3FB7">
              <w:t xml:space="preserve">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gramStart"/>
            <w:r w:rsidRPr="007A3FB7">
              <w:t>Р</w:t>
            </w:r>
            <w:proofErr w:type="gramEnd"/>
            <w:r w:rsidRPr="007A3FB7">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gramStart"/>
            <w:r w:rsidRPr="007A3FB7">
              <w:t>Р</w:t>
            </w:r>
            <w:proofErr w:type="gramEnd"/>
            <w:r w:rsidRPr="007A3FB7">
              <w:t>/с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lastRenderedPageBreak/>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842AD0" w:rsidRDefault="00E21130" w:rsidP="00D86FE5">
      <w:pPr>
        <w:spacing w:after="20"/>
        <w:ind w:firstLine="426"/>
        <w:jc w:val="center"/>
        <w:rPr>
          <w:b/>
        </w:rPr>
      </w:pPr>
      <w:r>
        <w:rPr>
          <w:b/>
        </w:rPr>
        <w:t>н</w:t>
      </w:r>
      <w:r w:rsidRPr="00E1320E">
        <w:rPr>
          <w:b/>
        </w:rPr>
        <w:t>а</w:t>
      </w:r>
      <w:r w:rsidRPr="00275785">
        <w:rPr>
          <w:b/>
        </w:rPr>
        <w:t xml:space="preserve"> </w:t>
      </w:r>
      <w:r w:rsidR="00BD2790">
        <w:rPr>
          <w:b/>
        </w:rPr>
        <w:t xml:space="preserve">выполнение работ по </w:t>
      </w:r>
      <w:r>
        <w:rPr>
          <w:b/>
        </w:rPr>
        <w:t>к</w:t>
      </w:r>
      <w:r w:rsidRPr="004611C9">
        <w:rPr>
          <w:b/>
        </w:rPr>
        <w:t>апитальн</w:t>
      </w:r>
      <w:r w:rsidR="00BD2790">
        <w:rPr>
          <w:b/>
        </w:rPr>
        <w:t>ому</w:t>
      </w:r>
      <w:r w:rsidRPr="004611C9">
        <w:rPr>
          <w:b/>
        </w:rPr>
        <w:t xml:space="preserve"> ремонт</w:t>
      </w:r>
      <w:r w:rsidR="00BD2790">
        <w:rPr>
          <w:b/>
        </w:rPr>
        <w:t>у</w:t>
      </w:r>
      <w:r w:rsidRPr="004611C9">
        <w:rPr>
          <w:b/>
        </w:rPr>
        <w:t xml:space="preserve"> </w:t>
      </w:r>
      <w:r w:rsidR="00D86FE5" w:rsidRPr="00B17205">
        <w:rPr>
          <w:b/>
        </w:rPr>
        <w:t xml:space="preserve">дворовой канализационной сети </w:t>
      </w:r>
    </w:p>
    <w:p w:rsidR="00D86FE5" w:rsidRDefault="00D86FE5" w:rsidP="00D86FE5">
      <w:pPr>
        <w:spacing w:after="20"/>
        <w:ind w:firstLine="426"/>
        <w:jc w:val="center"/>
        <w:rPr>
          <w:b/>
        </w:rPr>
      </w:pPr>
      <w:r w:rsidRPr="00B17205">
        <w:rPr>
          <w:b/>
        </w:rPr>
        <w:t>(п. 103) ул. Шиловская, 12, 14 от КК-731/3 до КК-738/3.  D=160 мм; L=140 м.</w:t>
      </w:r>
    </w:p>
    <w:p w:rsidR="00D86FE5" w:rsidRPr="00E1320E" w:rsidRDefault="00D86FE5" w:rsidP="00D86FE5">
      <w:pPr>
        <w:spacing w:after="20"/>
        <w:ind w:firstLine="426"/>
        <w:jc w:val="center"/>
        <w:rPr>
          <w:b/>
        </w:rPr>
      </w:pPr>
    </w:p>
    <w:p w:rsidR="00D86FE5" w:rsidRDefault="00D86FE5" w:rsidP="003B73CF">
      <w:pPr>
        <w:pStyle w:val="aff2"/>
        <w:numPr>
          <w:ilvl w:val="0"/>
          <w:numId w:val="23"/>
        </w:numPr>
        <w:spacing w:after="20"/>
        <w:ind w:left="0" w:firstLine="426"/>
        <w:jc w:val="both"/>
      </w:pPr>
      <w:r w:rsidRPr="00D86FE5">
        <w:rPr>
          <w:b/>
        </w:rPr>
        <w:t>Наименование выполняемых работ:</w:t>
      </w:r>
      <w:r>
        <w:rPr>
          <w:b/>
        </w:rPr>
        <w:t xml:space="preserve"> </w:t>
      </w:r>
      <w:r w:rsidRPr="00386B24">
        <w:t xml:space="preserve">Капитальный ремонт </w:t>
      </w:r>
      <w:r>
        <w:t>самотечного канализационного коллектора</w:t>
      </w:r>
      <w:proofErr w:type="gramStart"/>
      <w:r>
        <w:t xml:space="preserve"> Д</w:t>
      </w:r>
      <w:proofErr w:type="gramEnd"/>
      <w:r>
        <w:t xml:space="preserve">=160 мм по ул. Шиловская </w:t>
      </w:r>
      <w:r w:rsidRPr="00386B24">
        <w:t>от</w:t>
      </w:r>
      <w:r>
        <w:t xml:space="preserve"> ж/д №12 до ж/д №14.</w:t>
      </w:r>
    </w:p>
    <w:p w:rsidR="00D86FE5" w:rsidRPr="00E1320E" w:rsidRDefault="00D86FE5" w:rsidP="00A341A4">
      <w:pPr>
        <w:pStyle w:val="aff2"/>
        <w:numPr>
          <w:ilvl w:val="0"/>
          <w:numId w:val="23"/>
        </w:numPr>
        <w:spacing w:after="20"/>
        <w:ind w:left="0" w:firstLine="426"/>
      </w:pPr>
      <w:r w:rsidRPr="00D86FE5">
        <w:rPr>
          <w:b/>
        </w:rPr>
        <w:t xml:space="preserve">Вид строительства: </w:t>
      </w:r>
      <w:r>
        <w:t>Капитальный ремонт.</w:t>
      </w:r>
    </w:p>
    <w:p w:rsidR="00D86FE5" w:rsidRPr="00E1320E" w:rsidRDefault="00D86FE5" w:rsidP="00F1045E">
      <w:pPr>
        <w:pStyle w:val="aff2"/>
        <w:numPr>
          <w:ilvl w:val="0"/>
          <w:numId w:val="23"/>
        </w:numPr>
        <w:spacing w:after="20"/>
        <w:ind w:left="0" w:firstLine="426"/>
      </w:pPr>
      <w:r w:rsidRPr="00D86FE5">
        <w:rPr>
          <w:b/>
        </w:rPr>
        <w:t>Источник финансирования:</w:t>
      </w:r>
      <w:r>
        <w:rPr>
          <w:b/>
        </w:rPr>
        <w:t xml:space="preserve"> </w:t>
      </w:r>
      <w:r>
        <w:t>Собственные средства.</w:t>
      </w:r>
    </w:p>
    <w:p w:rsidR="00D86FE5" w:rsidRPr="00E1320E" w:rsidRDefault="00D86FE5" w:rsidP="00D86FE5">
      <w:pPr>
        <w:pStyle w:val="aff2"/>
        <w:numPr>
          <w:ilvl w:val="0"/>
          <w:numId w:val="23"/>
        </w:numPr>
        <w:spacing w:after="20"/>
        <w:ind w:left="0" w:firstLine="426"/>
        <w:rPr>
          <w:b/>
        </w:rPr>
      </w:pPr>
      <w:r w:rsidRPr="00E1320E">
        <w:rPr>
          <w:b/>
        </w:rPr>
        <w:t>Сроки выполнения работ:</w:t>
      </w:r>
    </w:p>
    <w:p w:rsidR="00D86FE5" w:rsidRPr="00E1320E" w:rsidRDefault="00D86FE5" w:rsidP="00D86FE5">
      <w:pPr>
        <w:spacing w:after="20"/>
        <w:ind w:firstLine="426"/>
      </w:pPr>
      <w:r w:rsidRPr="00E1320E">
        <w:t xml:space="preserve">Начало работ – с момента заключения </w:t>
      </w:r>
      <w:r>
        <w:t>Договора.</w:t>
      </w:r>
    </w:p>
    <w:p w:rsidR="00D86FE5" w:rsidRPr="00E1320E" w:rsidRDefault="00D86FE5" w:rsidP="00D86FE5">
      <w:pPr>
        <w:spacing w:after="20"/>
        <w:ind w:firstLine="426"/>
      </w:pPr>
      <w:r w:rsidRPr="00E1320E">
        <w:t xml:space="preserve">Окончание работ - </w:t>
      </w:r>
      <w:r>
        <w:rPr>
          <w:color w:val="000000"/>
        </w:rPr>
        <w:t>не позднее 75</w:t>
      </w:r>
      <w:r w:rsidRPr="00E1320E">
        <w:rPr>
          <w:color w:val="000000"/>
        </w:rPr>
        <w:t xml:space="preserve"> (</w:t>
      </w:r>
      <w:r>
        <w:rPr>
          <w:color w:val="000000"/>
        </w:rPr>
        <w:t>семьдесят пять</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D86FE5" w:rsidRPr="00E1320E" w:rsidRDefault="00D86FE5" w:rsidP="007A722B">
      <w:pPr>
        <w:pStyle w:val="aff2"/>
        <w:numPr>
          <w:ilvl w:val="0"/>
          <w:numId w:val="23"/>
        </w:numPr>
        <w:spacing w:after="20"/>
        <w:ind w:left="0" w:firstLine="426"/>
      </w:pPr>
      <w:r w:rsidRPr="00D86FE5">
        <w:rPr>
          <w:b/>
        </w:rPr>
        <w:t xml:space="preserve">Исходные данные: </w:t>
      </w:r>
      <w:r w:rsidRPr="00E1320E">
        <w:t>Локальный сметный расчет.</w:t>
      </w:r>
    </w:p>
    <w:p w:rsidR="00D86FE5" w:rsidRPr="00E1320E" w:rsidRDefault="00D86FE5" w:rsidP="00D86FE5">
      <w:pPr>
        <w:pStyle w:val="aff2"/>
        <w:numPr>
          <w:ilvl w:val="0"/>
          <w:numId w:val="23"/>
        </w:numPr>
        <w:spacing w:after="20"/>
        <w:ind w:left="0" w:firstLine="426"/>
        <w:rPr>
          <w:b/>
        </w:rPr>
      </w:pPr>
      <w:r w:rsidRPr="00E1320E">
        <w:rPr>
          <w:b/>
        </w:rPr>
        <w:t>Виды выполняемых работ:</w:t>
      </w:r>
    </w:p>
    <w:p w:rsidR="00D86FE5" w:rsidRPr="00E7036D" w:rsidRDefault="00D86FE5" w:rsidP="00D86FE5">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L=140 м:</w:t>
      </w:r>
    </w:p>
    <w:p w:rsidR="00D86FE5" w:rsidRDefault="00D86FE5" w:rsidP="00D86FE5">
      <w:pPr>
        <w:spacing w:after="20"/>
      </w:pPr>
      <w:r>
        <w:t>труба</w:t>
      </w:r>
      <w:r w:rsidRPr="00E1320E">
        <w:t xml:space="preserve"> </w:t>
      </w:r>
      <w:proofErr w:type="spellStart"/>
      <w:r>
        <w:t>Корсис</w:t>
      </w:r>
      <w:proofErr w:type="spellEnd"/>
      <w:r>
        <w:t xml:space="preserve"> 200/176</w:t>
      </w:r>
      <w:r w:rsidRPr="00E1320E">
        <w:t xml:space="preserve"> </w:t>
      </w:r>
      <w:r w:rsidRPr="00E7036D">
        <w:rPr>
          <w:lang w:val="en-US"/>
        </w:rPr>
        <w:t>SN</w:t>
      </w:r>
      <w:r w:rsidRPr="00FC243E">
        <w:t xml:space="preserve"> 8 </w:t>
      </w:r>
      <w:r>
        <w:t>ТУ 22.21.21-005-73011750-2017</w:t>
      </w:r>
    </w:p>
    <w:p w:rsidR="00D86FE5" w:rsidRDefault="00D86FE5" w:rsidP="00D86FE5">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D86FE5" w:rsidRDefault="00D86FE5" w:rsidP="00D86FE5">
      <w:pPr>
        <w:pStyle w:val="af9"/>
        <w:numPr>
          <w:ilvl w:val="0"/>
          <w:numId w:val="30"/>
        </w:numPr>
        <w:spacing w:after="20"/>
        <w:ind w:left="0" w:firstLine="426"/>
        <w:jc w:val="left"/>
      </w:pPr>
      <w:r>
        <w:t>Капитальный ремонт круглых</w:t>
      </w:r>
      <w:r w:rsidRPr="00E1320E">
        <w:t xml:space="preserve"> </w:t>
      </w:r>
      <w:r>
        <w:t>канализационных</w:t>
      </w:r>
      <w:r w:rsidRPr="00E1320E">
        <w:t xml:space="preserve"> колодц</w:t>
      </w:r>
      <w:r>
        <w:t>ев</w:t>
      </w:r>
      <w:r w:rsidRPr="00E1320E">
        <w:t xml:space="preserve"> </w:t>
      </w:r>
      <w:r>
        <w:br/>
        <w:t>Д-10</w:t>
      </w:r>
      <w:r w:rsidRPr="00E1320E">
        <w:t>00</w:t>
      </w:r>
      <w:r>
        <w:t xml:space="preserve"> </w:t>
      </w:r>
      <w:r w:rsidRPr="00E1320E">
        <w:t xml:space="preserve">мм, </w:t>
      </w:r>
      <w:proofErr w:type="gramStart"/>
      <w:r w:rsidRPr="00E1320E">
        <w:t>ж/б</w:t>
      </w:r>
      <w:proofErr w:type="gramEnd"/>
      <w:r>
        <w:t xml:space="preserve"> – 4 шт</w:t>
      </w:r>
      <w:r w:rsidRPr="00E1320E">
        <w:t>.</w:t>
      </w:r>
    </w:p>
    <w:p w:rsidR="00D86FE5" w:rsidRDefault="00D86FE5" w:rsidP="00842AD0">
      <w:pPr>
        <w:pStyle w:val="af9"/>
        <w:numPr>
          <w:ilvl w:val="0"/>
          <w:numId w:val="30"/>
        </w:numPr>
        <w:spacing w:after="20"/>
        <w:ind w:left="0" w:firstLine="426"/>
      </w:pPr>
      <w:r w:rsidRPr="00842AD0">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D86FE5" w:rsidRPr="00E1320E" w:rsidRDefault="00D86FE5" w:rsidP="00D86FE5">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D86FE5"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w:t>
      </w:r>
      <w:proofErr w:type="gramStart"/>
      <w:r w:rsidRPr="00E1320E">
        <w:rPr>
          <w:rFonts w:cs="Times New Roman"/>
          <w:color w:val="000000"/>
          <w:sz w:val="24"/>
          <w:szCs w:val="24"/>
        </w:rPr>
        <w:t>о-</w:t>
      </w:r>
      <w:proofErr w:type="gramEnd"/>
      <w:r w:rsidRPr="00E1320E">
        <w:rPr>
          <w:rFonts w:cs="Times New Roman"/>
          <w:color w:val="000000"/>
          <w:sz w:val="24"/>
          <w:szCs w:val="24"/>
        </w:rPr>
        <w:t xml:space="preserve"> эпидемиологических экспертизах, обследованиях, исследованиях, испытаниях и токсикологических, гигиенических и иных видах оценок»,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86FE5" w:rsidRDefault="00D86FE5" w:rsidP="00D86FE5">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D86FE5" w:rsidRPr="00145A5C" w:rsidRDefault="00D86FE5" w:rsidP="00D86FE5">
      <w:pPr>
        <w:shd w:val="clear" w:color="auto" w:fill="FFFFFF"/>
        <w:spacing w:after="20"/>
        <w:ind w:firstLine="426"/>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D86FE5" w:rsidRPr="00E1320E" w:rsidRDefault="00D86FE5" w:rsidP="00D86FE5">
      <w:pPr>
        <w:pStyle w:val="af9"/>
        <w:numPr>
          <w:ilvl w:val="0"/>
          <w:numId w:val="23"/>
        </w:numPr>
        <w:spacing w:after="20"/>
        <w:ind w:left="0" w:firstLine="426"/>
        <w:rPr>
          <w:b/>
        </w:rPr>
      </w:pPr>
      <w:r w:rsidRPr="00E1320E">
        <w:rPr>
          <w:b/>
        </w:rPr>
        <w:t>Условия выполнения работ</w:t>
      </w:r>
    </w:p>
    <w:p w:rsidR="00D86FE5" w:rsidRDefault="00D86FE5" w:rsidP="00D86FE5">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D86FE5" w:rsidRDefault="00D86FE5" w:rsidP="00D86FE5">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D86FE5" w:rsidRDefault="00D86FE5" w:rsidP="00D86FE5">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D86FE5" w:rsidRPr="00E1320E" w:rsidRDefault="00D86FE5" w:rsidP="00D86FE5">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w:t>
      </w:r>
      <w:proofErr w:type="gramStart"/>
      <w:r w:rsidRPr="00E1320E">
        <w:rPr>
          <w:bCs/>
        </w:rPr>
        <w:t>восстанавливаются</w:t>
      </w:r>
      <w:proofErr w:type="gramEnd"/>
      <w:r w:rsidRPr="00E1320E">
        <w:rPr>
          <w:bCs/>
        </w:rPr>
        <w:t xml:space="preserve"> и производится благоустройство территории по трассе и стройплощадкам. </w:t>
      </w:r>
    </w:p>
    <w:p w:rsidR="00D86FE5" w:rsidRPr="00E1320E" w:rsidRDefault="00D86FE5" w:rsidP="00D86FE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86FE5" w:rsidRDefault="00D86FE5" w:rsidP="00D86FE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86FE5" w:rsidRDefault="00D86FE5" w:rsidP="00D86FE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842AD0">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86FE5" w:rsidRPr="00E1320E" w:rsidRDefault="00D86FE5" w:rsidP="00D86FE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D86FE5" w:rsidRDefault="00D86FE5" w:rsidP="00D86FE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86FE5" w:rsidRPr="00DF284E" w:rsidRDefault="00D86FE5" w:rsidP="00D86FE5">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D86FE5" w:rsidRPr="007B6619" w:rsidRDefault="00D86FE5" w:rsidP="00842AD0">
      <w:pPr>
        <w:pStyle w:val="aff2"/>
        <w:numPr>
          <w:ilvl w:val="0"/>
          <w:numId w:val="31"/>
        </w:numPr>
        <w:ind w:left="0" w:right="-1" w:firstLine="426"/>
        <w:rPr>
          <w:rFonts w:eastAsia="Calibri"/>
        </w:rPr>
      </w:pPr>
      <w:r w:rsidRPr="007B6619">
        <w:rPr>
          <w:rFonts w:eastAsia="Calibri"/>
        </w:rPr>
        <w:t>Градостроительный Кодекс Российской Федерации.</w:t>
      </w:r>
    </w:p>
    <w:p w:rsidR="00D86FE5" w:rsidRPr="00F82459" w:rsidRDefault="00D86FE5" w:rsidP="00842AD0">
      <w:pPr>
        <w:numPr>
          <w:ilvl w:val="0"/>
          <w:numId w:val="31"/>
        </w:numPr>
        <w:ind w:left="0" w:right="-1"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proofErr w:type="gramStart"/>
      <w:r w:rsidRPr="00F82459">
        <w:rPr>
          <w:rFonts w:eastAsia="Calibri"/>
        </w:rPr>
        <w:t>.»</w:t>
      </w:r>
      <w:proofErr w:type="gramEnd"/>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СНиП III-4-80* «Правила производства и приемки работ».</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86FE5" w:rsidRPr="00F82459" w:rsidRDefault="00D86FE5" w:rsidP="00842AD0">
      <w:pPr>
        <w:numPr>
          <w:ilvl w:val="0"/>
          <w:numId w:val="31"/>
        </w:numPr>
        <w:ind w:left="0" w:right="-1" w:firstLine="426"/>
        <w:contextualSpacing/>
        <w:rPr>
          <w:rFonts w:eastAsia="Calibri"/>
        </w:rPr>
      </w:pPr>
      <w:r w:rsidRPr="00F82459">
        <w:rPr>
          <w:rFonts w:eastAsia="Calibri"/>
        </w:rPr>
        <w:t>Федеральный Закон от 10.01.2002 № 7-ФЗ «Об охране окружающей среды».</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СП 48.13330.2011 (СНиП 12-01-2004) Организация строительства.</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ГОСТ 12.1.004-91 ССБТ. Пожарная безопасность. Общие требования.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86FE5" w:rsidRDefault="00D86FE5" w:rsidP="00842AD0">
      <w:pPr>
        <w:numPr>
          <w:ilvl w:val="0"/>
          <w:numId w:val="31"/>
        </w:numPr>
        <w:tabs>
          <w:tab w:val="left" w:pos="851"/>
        </w:tabs>
        <w:ind w:left="0" w:right="-1"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D86FE5" w:rsidRPr="00E1320E" w:rsidRDefault="00D86FE5" w:rsidP="00842AD0">
      <w:pPr>
        <w:pStyle w:val="a9"/>
        <w:numPr>
          <w:ilvl w:val="0"/>
          <w:numId w:val="23"/>
        </w:numPr>
        <w:tabs>
          <w:tab w:val="left" w:pos="851"/>
          <w:tab w:val="left" w:pos="993"/>
        </w:tabs>
        <w:spacing w:after="20"/>
        <w:ind w:left="0" w:right="-1" w:firstLine="426"/>
        <w:rPr>
          <w:b/>
        </w:rPr>
      </w:pPr>
      <w:r w:rsidRPr="00E1320E">
        <w:rPr>
          <w:b/>
          <w:bCs/>
        </w:rPr>
        <w:t>Требования по сроку гарантий качества на результаты работ</w:t>
      </w:r>
    </w:p>
    <w:p w:rsidR="00D86FE5" w:rsidRPr="00E1320E" w:rsidRDefault="00D86FE5" w:rsidP="00842AD0">
      <w:pPr>
        <w:tabs>
          <w:tab w:val="num" w:pos="426"/>
        </w:tabs>
        <w:spacing w:after="20"/>
        <w:ind w:right="-1"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D86FE5" w:rsidRPr="00E1320E" w:rsidRDefault="00D86FE5" w:rsidP="00842AD0">
      <w:pPr>
        <w:tabs>
          <w:tab w:val="num" w:pos="426"/>
        </w:tabs>
        <w:spacing w:after="20"/>
        <w:ind w:right="-1"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86FE5" w:rsidRPr="00E1320E" w:rsidRDefault="00D86FE5" w:rsidP="00D86FE5">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D86FE5" w:rsidRPr="00E1320E" w:rsidRDefault="00D86FE5" w:rsidP="00D86FE5">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D86FE5" w:rsidRPr="00E1320E" w:rsidRDefault="00D86FE5" w:rsidP="00D86FE5">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D86FE5" w:rsidRPr="00C03813" w:rsidRDefault="00D86FE5" w:rsidP="00D86FE5">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D86FE5" w:rsidRDefault="00D86FE5" w:rsidP="00D86FE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D86FE5" w:rsidRPr="00E1320E" w:rsidRDefault="00D86FE5" w:rsidP="00D86FE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1-ои экземпляре</w:t>
      </w:r>
      <w:r w:rsidRPr="00E1320E">
        <w:rPr>
          <w:rFonts w:eastAsia="Calibri"/>
          <w:lang w:eastAsia="en-US"/>
        </w:rPr>
        <w:t>:</w:t>
      </w:r>
    </w:p>
    <w:p w:rsidR="00D86FE5" w:rsidRPr="007F7921"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proofErr w:type="gramStart"/>
      <w:r>
        <w:t>теле-инспекционного</w:t>
      </w:r>
      <w:proofErr w:type="gramEnd"/>
      <w:r>
        <w:t xml:space="preserve"> обследования</w:t>
      </w:r>
      <w:r w:rsidRPr="00163528">
        <w:t xml:space="preserve"> трубопровода</w:t>
      </w:r>
      <w:r w:rsidRPr="00E1320E">
        <w:rPr>
          <w:rFonts w:eastAsia="Calibri"/>
          <w:lang w:eastAsia="en-US"/>
        </w:rPr>
        <w:t>;</w:t>
      </w:r>
    </w:p>
    <w:p w:rsidR="00D86FE5" w:rsidRPr="007F7921"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D86FE5" w:rsidRPr="00E1320E"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D86FE5" w:rsidRPr="00E1320E"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D86FE5" w:rsidRPr="00A05097"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D86FE5" w:rsidRPr="00FD3642"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D86FE5" w:rsidRPr="00A67525"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D2790" w:rsidRPr="00A67525" w:rsidRDefault="00BD2790" w:rsidP="00D86FE5">
      <w:pPr>
        <w:spacing w:after="20"/>
        <w:jc w:val="center"/>
        <w:rPr>
          <w:rFonts w:eastAsia="Calibri"/>
          <w:b/>
          <w:lang w:eastAsia="en-US"/>
        </w:rPr>
      </w:pPr>
    </w:p>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12EFD">
      <w:rPr>
        <w:rStyle w:val="ab"/>
      </w:rPr>
      <w:t>3</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90" w:rsidRDefault="00BD2790">
      <w:r>
        <w:separator/>
      </w:r>
    </w:p>
  </w:footnote>
  <w:footnote w:type="continuationSeparator" w:id="0">
    <w:p w:rsidR="00BD2790" w:rsidRDefault="00BD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A24A3"/>
    <w:rsid w:val="000C3167"/>
    <w:rsid w:val="000F38E6"/>
    <w:rsid w:val="00141BE4"/>
    <w:rsid w:val="00166602"/>
    <w:rsid w:val="002437D4"/>
    <w:rsid w:val="00284277"/>
    <w:rsid w:val="00284C51"/>
    <w:rsid w:val="002B0B1F"/>
    <w:rsid w:val="002B7960"/>
    <w:rsid w:val="0033018C"/>
    <w:rsid w:val="003D4B61"/>
    <w:rsid w:val="00436FE7"/>
    <w:rsid w:val="00452952"/>
    <w:rsid w:val="004545AD"/>
    <w:rsid w:val="004579E8"/>
    <w:rsid w:val="00463F15"/>
    <w:rsid w:val="00466103"/>
    <w:rsid w:val="004722DA"/>
    <w:rsid w:val="00476031"/>
    <w:rsid w:val="00476475"/>
    <w:rsid w:val="004A388B"/>
    <w:rsid w:val="004D1F69"/>
    <w:rsid w:val="004F0845"/>
    <w:rsid w:val="005068DE"/>
    <w:rsid w:val="005156C8"/>
    <w:rsid w:val="005447AE"/>
    <w:rsid w:val="00575299"/>
    <w:rsid w:val="00591E57"/>
    <w:rsid w:val="005D62B0"/>
    <w:rsid w:val="00651E6A"/>
    <w:rsid w:val="006A08A4"/>
    <w:rsid w:val="006B6A14"/>
    <w:rsid w:val="006D489A"/>
    <w:rsid w:val="00702C51"/>
    <w:rsid w:val="007141EF"/>
    <w:rsid w:val="00733842"/>
    <w:rsid w:val="00757843"/>
    <w:rsid w:val="007725C6"/>
    <w:rsid w:val="0077769E"/>
    <w:rsid w:val="00777843"/>
    <w:rsid w:val="007A254F"/>
    <w:rsid w:val="007A3FB7"/>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56573"/>
    <w:rsid w:val="00A569E1"/>
    <w:rsid w:val="00A90D6C"/>
    <w:rsid w:val="00A9337D"/>
    <w:rsid w:val="00AA0DA1"/>
    <w:rsid w:val="00AE7E45"/>
    <w:rsid w:val="00B048ED"/>
    <w:rsid w:val="00B36F63"/>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10676</Words>
  <Characters>75903</Characters>
  <Application>Microsoft Office Word</Application>
  <DocSecurity>0</DocSecurity>
  <Lines>632</Lines>
  <Paragraphs>172</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86407</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2020-01-27T04:42:00Z</dcterms:created>
  <dcterms:modified xsi:type="dcterms:W3CDTF">2020-01-27T04:42:00Z</dcterms:modified>
</cp:coreProperties>
</file>